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cb78f78657f4245" /></Relationships>
</file>

<file path=word/document.xml><?xml version="1.0" encoding="utf-8"?>
<w:document xmlns:w="http://schemas.openxmlformats.org/wordprocessingml/2006/main">
  <w:body>
    <w:p>
      <w:r>
        <w:t>  1000/Repor_1  
 SHRI LAVU SRI KRISHNA DEVARAYALU (NARASARAOPET): There is a recent judgement by the Supreme Court which has opened a Pandora’s box with respect to how NCLT can admit an insolvency application. Added to this, it has also widely been reported that in 15 Benches across the nation, which are looking into NCLT, there has been almost 50 per cent vacancy until 2020. So, can the hon. Minister state the details of the members retiring in 2022, and the measures being taken to fill up these vacancies?  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 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 ok </w:t>
      </w:r>
    </w:p>
  </w:body>
</w:document>
</file>